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02187015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Progresul înregistrat în implementarea activităților și rezultatele obținute în perioada de raportare</w:t>
      </w:r>
      <w:r w:rsidR="00FC6D4B" w:rsidRPr="00FC6D4B">
        <w:rPr>
          <w:rFonts w:asciiTheme="minorHAnsi" w:eastAsiaTheme="minorHAnsi" w:hAnsiTheme="minorHAnsi" w:cstheme="minorHAnsi"/>
          <w:i/>
          <w:sz w:val="22"/>
          <w:szCs w:val="22"/>
        </w:rPr>
        <w:t xml:space="preserve">, inclusiv progresul înregistrat în îndeplinirea condițiilor din evaluare/condițiilor din </w:t>
      </w:r>
      <w:r w:rsidR="00FC6D4B">
        <w:rPr>
          <w:rFonts w:asciiTheme="minorHAnsi" w:eastAsiaTheme="minorHAnsi" w:hAnsiTheme="minorHAnsi" w:cstheme="minorHAnsi"/>
          <w:i/>
          <w:sz w:val="22"/>
          <w:szCs w:val="22"/>
        </w:rPr>
        <w:t>raportul experților independenți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 este cazul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AB71E5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1FBB" w14:textId="77777777" w:rsidR="00AB71E5" w:rsidRDefault="00AB71E5" w:rsidP="00BA763C">
      <w:r>
        <w:separator/>
      </w:r>
    </w:p>
  </w:endnote>
  <w:endnote w:type="continuationSeparator" w:id="0">
    <w:p w14:paraId="3831D35A" w14:textId="77777777" w:rsidR="00AB71E5" w:rsidRDefault="00AB71E5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242E" w14:textId="77777777" w:rsidR="00AB71E5" w:rsidRDefault="00AB71E5" w:rsidP="00BA763C">
      <w:r>
        <w:separator/>
      </w:r>
    </w:p>
  </w:footnote>
  <w:footnote w:type="continuationSeparator" w:id="0">
    <w:p w14:paraId="33CEA8B9" w14:textId="77777777" w:rsidR="00AB71E5" w:rsidRDefault="00AB71E5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4F19C0FF" w:rsidR="00DA2978" w:rsidRPr="00483A37" w:rsidRDefault="00DA2978" w:rsidP="00DA2978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</w:rPr>
    </w:pPr>
    <w:r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 xml:space="preserve">Anexa </w:t>
    </w:r>
    <w:r w:rsidR="00A71A5D"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>9</w:t>
    </w:r>
    <w:r w:rsidRPr="00483A37">
      <w:rPr>
        <w:rFonts w:asciiTheme="minorHAnsi" w:hAnsiTheme="minorHAnsi" w:cstheme="minorHAnsi"/>
        <w:b/>
        <w:i/>
        <w:iCs/>
        <w:color w:val="4472C4"/>
        <w:sz w:val="22"/>
        <w:szCs w:val="22"/>
      </w:rPr>
      <w:t xml:space="preserve"> – Raport de progres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6985001">
    <w:abstractNumId w:val="23"/>
  </w:num>
  <w:num w:numId="2" w16cid:durableId="608053202">
    <w:abstractNumId w:val="13"/>
  </w:num>
  <w:num w:numId="3" w16cid:durableId="1982955348">
    <w:abstractNumId w:val="12"/>
  </w:num>
  <w:num w:numId="4" w16cid:durableId="1354041637">
    <w:abstractNumId w:val="22"/>
  </w:num>
  <w:num w:numId="5" w16cid:durableId="1397556955">
    <w:abstractNumId w:val="4"/>
  </w:num>
  <w:num w:numId="6" w16cid:durableId="1993437864">
    <w:abstractNumId w:val="10"/>
  </w:num>
  <w:num w:numId="7" w16cid:durableId="2027637766">
    <w:abstractNumId w:val="7"/>
  </w:num>
  <w:num w:numId="8" w16cid:durableId="869218285">
    <w:abstractNumId w:val="17"/>
  </w:num>
  <w:num w:numId="9" w16cid:durableId="1705592447">
    <w:abstractNumId w:val="5"/>
  </w:num>
  <w:num w:numId="10" w16cid:durableId="572661537">
    <w:abstractNumId w:val="18"/>
  </w:num>
  <w:num w:numId="11" w16cid:durableId="2027825272">
    <w:abstractNumId w:val="14"/>
  </w:num>
  <w:num w:numId="12" w16cid:durableId="2105345932">
    <w:abstractNumId w:val="9"/>
  </w:num>
  <w:num w:numId="13" w16cid:durableId="1949853772">
    <w:abstractNumId w:val="19"/>
  </w:num>
  <w:num w:numId="14" w16cid:durableId="1860123123">
    <w:abstractNumId w:val="2"/>
  </w:num>
  <w:num w:numId="15" w16cid:durableId="614597700">
    <w:abstractNumId w:val="6"/>
  </w:num>
  <w:num w:numId="16" w16cid:durableId="414743375">
    <w:abstractNumId w:val="16"/>
  </w:num>
  <w:num w:numId="17" w16cid:durableId="161118319">
    <w:abstractNumId w:val="0"/>
  </w:num>
  <w:num w:numId="18" w16cid:durableId="545990767">
    <w:abstractNumId w:val="21"/>
  </w:num>
  <w:num w:numId="19" w16cid:durableId="1448233859">
    <w:abstractNumId w:val="3"/>
  </w:num>
  <w:num w:numId="20" w16cid:durableId="915937920">
    <w:abstractNumId w:val="20"/>
  </w:num>
  <w:num w:numId="21" w16cid:durableId="224684428">
    <w:abstractNumId w:val="1"/>
  </w:num>
  <w:num w:numId="22" w16cid:durableId="1263104131">
    <w:abstractNumId w:val="11"/>
  </w:num>
  <w:num w:numId="23" w16cid:durableId="184368705">
    <w:abstractNumId w:val="8"/>
  </w:num>
  <w:num w:numId="24" w16cid:durableId="979647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A37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1A5D"/>
    <w:rsid w:val="00A773D8"/>
    <w:rsid w:val="00A82F42"/>
    <w:rsid w:val="00A835E7"/>
    <w:rsid w:val="00A94B50"/>
    <w:rsid w:val="00AA6C25"/>
    <w:rsid w:val="00AB09B6"/>
    <w:rsid w:val="00AB5556"/>
    <w:rsid w:val="00AB71E5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C3216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6D4B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Rodica Madalina Popa</cp:lastModifiedBy>
  <cp:revision>15</cp:revision>
  <dcterms:created xsi:type="dcterms:W3CDTF">2023-04-27T19:43:00Z</dcterms:created>
  <dcterms:modified xsi:type="dcterms:W3CDTF">2024-03-06T10:51:00Z</dcterms:modified>
</cp:coreProperties>
</file>